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5D45D" w14:textId="0EC5149D" w:rsidR="00C468E8" w:rsidRPr="00FE0C4B" w:rsidRDefault="00680491" w:rsidP="00FE0C4B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FE0C4B">
        <w:rPr>
          <w:rFonts w:ascii="Open Sans" w:hAnsi="Open Sans" w:cs="Open Sans"/>
          <w:color w:val="auto"/>
          <w:sz w:val="22"/>
          <w:szCs w:val="22"/>
        </w:rPr>
        <w:t xml:space="preserve">Załącznik nr </w:t>
      </w:r>
      <w:r w:rsidR="007874E3" w:rsidRPr="00FE0C4B">
        <w:rPr>
          <w:rFonts w:ascii="Open Sans" w:hAnsi="Open Sans" w:cs="Open Sans"/>
          <w:color w:val="auto"/>
          <w:sz w:val="22"/>
          <w:szCs w:val="22"/>
        </w:rPr>
        <w:t xml:space="preserve">6 </w:t>
      </w:r>
      <w:r w:rsidR="0052160E" w:rsidRPr="00FE0C4B">
        <w:rPr>
          <w:rFonts w:ascii="Open Sans" w:hAnsi="Open Sans" w:cs="Open Sans"/>
          <w:color w:val="auto"/>
          <w:sz w:val="22"/>
          <w:szCs w:val="22"/>
        </w:rPr>
        <w:t>do Regulaminu</w:t>
      </w:r>
    </w:p>
    <w:p w14:paraId="31DD7676" w14:textId="77777777" w:rsidR="00DA0BDF" w:rsidRPr="00C02D3C" w:rsidRDefault="00F94850" w:rsidP="00FE0C4B">
      <w:pPr>
        <w:pStyle w:val="Nagwek1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C02D3C">
        <w:rPr>
          <w:rFonts w:ascii="Open Sans" w:hAnsi="Open Sans" w:cs="Open Sans"/>
          <w:b/>
          <w:bCs/>
          <w:color w:val="auto"/>
          <w:sz w:val="24"/>
          <w:szCs w:val="24"/>
        </w:rPr>
        <w:t>K</w:t>
      </w:r>
      <w:r w:rsidR="00E67FE4" w:rsidRPr="00C02D3C">
        <w:rPr>
          <w:rFonts w:ascii="Open Sans" w:hAnsi="Open Sans" w:cs="Open Sans"/>
          <w:b/>
          <w:bCs/>
          <w:color w:val="auto"/>
          <w:sz w:val="24"/>
          <w:szCs w:val="24"/>
        </w:rPr>
        <w:t>atalog wydatków kwalifikowalnych</w:t>
      </w:r>
    </w:p>
    <w:p w14:paraId="5264FD18" w14:textId="77777777" w:rsidR="00FE0C4B" w:rsidRPr="00FE0C4B" w:rsidRDefault="00FE0C4B" w:rsidP="00FE0C4B"/>
    <w:p w14:paraId="2A0DF1DD" w14:textId="77777777" w:rsidR="00A627EB" w:rsidRPr="00C743D7" w:rsidRDefault="0077016A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b/>
          <w:sz w:val="22"/>
          <w:szCs w:val="22"/>
        </w:rPr>
      </w:pPr>
      <w:r w:rsidRPr="00C743D7">
        <w:rPr>
          <w:rFonts w:ascii="Open Sans" w:hAnsi="Open Sans" w:cs="Open Sans"/>
          <w:bCs/>
          <w:sz w:val="22"/>
          <w:szCs w:val="22"/>
        </w:rPr>
        <w:t xml:space="preserve">Wydatki muszą </w:t>
      </w:r>
      <w:r w:rsidR="000721D3" w:rsidRPr="00C743D7">
        <w:rPr>
          <w:rFonts w:ascii="Open Sans" w:hAnsi="Open Sans" w:cs="Open Sans"/>
          <w:bCs/>
          <w:sz w:val="22"/>
          <w:szCs w:val="22"/>
        </w:rPr>
        <w:t xml:space="preserve">spełniać </w:t>
      </w:r>
      <w:r w:rsidRPr="00C743D7">
        <w:rPr>
          <w:rFonts w:ascii="Open Sans" w:hAnsi="Open Sans" w:cs="Open Sans"/>
          <w:bCs/>
          <w:sz w:val="22"/>
          <w:szCs w:val="22"/>
        </w:rPr>
        <w:t>wymogi określone</w:t>
      </w:r>
      <w:r w:rsidR="003F05B5" w:rsidRPr="00C743D7">
        <w:rPr>
          <w:rFonts w:ascii="Open Sans" w:hAnsi="Open Sans" w:cs="Open Sans"/>
          <w:bCs/>
          <w:sz w:val="22"/>
          <w:szCs w:val="22"/>
        </w:rPr>
        <w:t xml:space="preserve"> </w:t>
      </w:r>
      <w:r w:rsidRPr="00C743D7">
        <w:rPr>
          <w:rFonts w:ascii="Open Sans" w:hAnsi="Open Sans" w:cs="Open Sans"/>
          <w:bCs/>
          <w:sz w:val="22"/>
          <w:szCs w:val="22"/>
        </w:rPr>
        <w:t>w</w:t>
      </w:r>
      <w:r w:rsidR="0052160E" w:rsidRPr="00C743D7">
        <w:rPr>
          <w:rFonts w:ascii="Open Sans" w:hAnsi="Open Sans" w:cs="Open Sans"/>
          <w:b/>
          <w:sz w:val="22"/>
          <w:szCs w:val="22"/>
        </w:rPr>
        <w:t xml:space="preserve"> </w:t>
      </w:r>
      <w:hyperlink r:id="rId8" w:history="1">
        <w:r w:rsidR="00124AE7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>Wytyczny</w:t>
        </w:r>
        <w:r w:rsidR="00FC187C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 xml:space="preserve">ch </w:t>
        </w:r>
        <w:r w:rsidR="00124AE7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>dotyczący</w:t>
        </w:r>
        <w:r w:rsidR="00FC187C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>ch</w:t>
        </w:r>
        <w:r w:rsidR="00124AE7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 xml:space="preserve"> kwalifikowalności wydatków na lata 2021-2027</w:t>
        </w:r>
      </w:hyperlink>
      <w:r w:rsidR="00124AE7" w:rsidRPr="00C743D7">
        <w:rPr>
          <w:rFonts w:ascii="Open Sans" w:hAnsi="Open Sans" w:cs="Open Sans"/>
          <w:b/>
          <w:sz w:val="22"/>
          <w:szCs w:val="22"/>
        </w:rPr>
        <w:t>.</w:t>
      </w:r>
    </w:p>
    <w:p w14:paraId="740480A0" w14:textId="77777777" w:rsidR="00A627EB" w:rsidRPr="00FE0A49" w:rsidRDefault="00A627EB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bCs/>
          <w:sz w:val="22"/>
          <w:szCs w:val="22"/>
        </w:rPr>
      </w:pPr>
      <w:r w:rsidRPr="00FE0A49">
        <w:rPr>
          <w:rFonts w:ascii="Open Sans" w:hAnsi="Open Sans" w:cs="Open Sans"/>
          <w:bCs/>
          <w:sz w:val="22"/>
          <w:szCs w:val="22"/>
        </w:rPr>
        <w:t>Wsparcie może zostać przeznaczone na</w:t>
      </w:r>
      <w:r w:rsidR="00FE0A49" w:rsidRPr="00FE0A49">
        <w:rPr>
          <w:rFonts w:ascii="Open Sans" w:hAnsi="Open Sans" w:cs="Open Sans"/>
          <w:bCs/>
          <w:sz w:val="22"/>
          <w:szCs w:val="22"/>
        </w:rPr>
        <w:t>:</w:t>
      </w:r>
    </w:p>
    <w:p w14:paraId="6BC7760E" w14:textId="77777777" w:rsidR="00B92366" w:rsidRPr="002621E1" w:rsidRDefault="00B92366" w:rsidP="00DB0A9F">
      <w:pPr>
        <w:pStyle w:val="Akapitzlist"/>
        <w:numPr>
          <w:ilvl w:val="1"/>
          <w:numId w:val="33"/>
        </w:numPr>
        <w:spacing w:after="80" w:line="276" w:lineRule="auto"/>
        <w:ind w:left="993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Koszty bezpośrednie:</w:t>
      </w:r>
    </w:p>
    <w:p w14:paraId="5E08E1B5" w14:textId="2701BCA5" w:rsidR="0052160E" w:rsidRPr="002621E1" w:rsidRDefault="00BC6E76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r</w:t>
      </w:r>
      <w:r w:rsidR="0052160E" w:rsidRPr="002621E1">
        <w:rPr>
          <w:rFonts w:ascii="Open Sans" w:hAnsi="Open Sans" w:cs="Open Sans"/>
          <w:bCs/>
          <w:sz w:val="22"/>
          <w:szCs w:val="22"/>
        </w:rPr>
        <w:t>oboty budowlane</w:t>
      </w:r>
      <w:r w:rsidR="00F64EFE">
        <w:rPr>
          <w:rFonts w:ascii="Open Sans" w:hAnsi="Open Sans" w:cs="Open Sans"/>
          <w:bCs/>
          <w:sz w:val="22"/>
          <w:szCs w:val="22"/>
        </w:rPr>
        <w:br/>
        <w:t>(</w:t>
      </w:r>
      <w:r w:rsidR="00810860" w:rsidRPr="00810860">
        <w:rPr>
          <w:rFonts w:ascii="Open Sans" w:hAnsi="Open Sans" w:cs="Open Sans"/>
          <w:bCs/>
          <w:sz w:val="22"/>
          <w:szCs w:val="22"/>
        </w:rPr>
        <w:t>niezbędna infrastruktura służąca ukierunkowaniu ruchu turystycznego, dla zmniejszenia antropopresji na gatunki i siedliska chronione, w tym m.in. wiaty, miejsca odpoczynku, tablice edukacyjne</w:t>
      </w:r>
      <w:r w:rsidR="006175EE">
        <w:rPr>
          <w:rFonts w:ascii="Open Sans" w:hAnsi="Open Sans" w:cs="Open Sans"/>
          <w:bCs/>
          <w:sz w:val="22"/>
          <w:szCs w:val="22"/>
        </w:rPr>
        <w:t xml:space="preserve">, oraz </w:t>
      </w:r>
      <w:r w:rsidR="006175EE" w:rsidRPr="0074756F">
        <w:rPr>
          <w:rFonts w:ascii="Open Sans" w:hAnsi="Open Sans" w:cs="Open Sans"/>
          <w:bCs/>
          <w:sz w:val="22"/>
          <w:szCs w:val="22"/>
        </w:rPr>
        <w:t>drogi dojazdowe, parkingi</w:t>
      </w:r>
      <w:r w:rsidR="006175EE">
        <w:rPr>
          <w:rFonts w:ascii="Open Sans" w:hAnsi="Open Sans" w:cs="Open Sans"/>
          <w:bCs/>
          <w:sz w:val="22"/>
          <w:szCs w:val="22"/>
        </w:rPr>
        <w:t xml:space="preserve"> pod warunkiem, że </w:t>
      </w:r>
      <w:r w:rsidR="006175EE" w:rsidRPr="00CE2229">
        <w:rPr>
          <w:rFonts w:ascii="Open Sans" w:hAnsi="Open Sans" w:cs="Open Sans"/>
          <w:color w:val="000000"/>
          <w:sz w:val="22"/>
          <w:szCs w:val="22"/>
        </w:rPr>
        <w:t>potrzeba ich budowy wynika z zapisów planu ochrony dla danego obszaru lub konieczności ograniczenia presji ze strony ruchu turystycznego na ten obszar. Ww. wydatki będą stanowić wyłącznie element projektu i będą ograniczone do 20%</w:t>
      </w:r>
      <w:r w:rsidR="00F64EFE">
        <w:rPr>
          <w:rFonts w:ascii="Open Sans" w:hAnsi="Open Sans" w:cs="Open Sans"/>
          <w:bCs/>
          <w:sz w:val="22"/>
          <w:szCs w:val="22"/>
        </w:rPr>
        <w:t>)</w:t>
      </w:r>
      <w:r w:rsidR="0052160E" w:rsidRPr="002621E1">
        <w:rPr>
          <w:rFonts w:ascii="Open Sans" w:hAnsi="Open Sans" w:cs="Open Sans"/>
          <w:bCs/>
          <w:sz w:val="22"/>
          <w:szCs w:val="22"/>
        </w:rPr>
        <w:t>;</w:t>
      </w:r>
    </w:p>
    <w:p w14:paraId="15C7C8E1" w14:textId="77777777" w:rsidR="00634B36" w:rsidRPr="00F64EFE" w:rsidRDefault="00BC6E76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ś</w:t>
      </w:r>
      <w:r w:rsidR="0052160E" w:rsidRPr="002621E1">
        <w:rPr>
          <w:rFonts w:ascii="Open Sans" w:hAnsi="Open Sans" w:cs="Open Sans"/>
          <w:bCs/>
          <w:sz w:val="22"/>
          <w:szCs w:val="22"/>
        </w:rPr>
        <w:t>rodki trwałe/</w:t>
      </w:r>
      <w:r w:rsidRPr="002621E1">
        <w:rPr>
          <w:rFonts w:ascii="Open Sans" w:hAnsi="Open Sans" w:cs="Open Sans"/>
          <w:bCs/>
          <w:sz w:val="22"/>
          <w:szCs w:val="22"/>
        </w:rPr>
        <w:t>d</w:t>
      </w:r>
      <w:r w:rsidR="0052160E" w:rsidRPr="002621E1">
        <w:rPr>
          <w:rFonts w:ascii="Open Sans" w:hAnsi="Open Sans" w:cs="Open Sans"/>
          <w:bCs/>
          <w:sz w:val="22"/>
          <w:szCs w:val="22"/>
        </w:rPr>
        <w:t>ostawy</w:t>
      </w:r>
      <w:r w:rsidR="00F64EFE">
        <w:rPr>
          <w:rFonts w:ascii="Open Sans" w:hAnsi="Open Sans" w:cs="Open Sans"/>
          <w:bCs/>
          <w:sz w:val="22"/>
          <w:szCs w:val="22"/>
        </w:rPr>
        <w:br/>
      </w:r>
      <w:r w:rsidR="00F64EFE" w:rsidRPr="00DB0A9F">
        <w:rPr>
          <w:rFonts w:ascii="Open Sans" w:hAnsi="Open Sans" w:cs="Open Sans"/>
          <w:sz w:val="22"/>
          <w:szCs w:val="22"/>
        </w:rPr>
        <w:t xml:space="preserve">(sprzęt i wyposażenie </w:t>
      </w:r>
      <w:r w:rsidR="00F64EFE" w:rsidRPr="00F64EFE">
        <w:rPr>
          <w:rFonts w:ascii="Open Sans" w:hAnsi="Open Sans" w:cs="Open Sans"/>
          <w:sz w:val="22"/>
          <w:szCs w:val="22"/>
        </w:rPr>
        <w:t xml:space="preserve">niezbędne do realizacji </w:t>
      </w:r>
      <w:r w:rsidR="00F64EFE">
        <w:rPr>
          <w:rFonts w:ascii="Open Sans" w:hAnsi="Open Sans" w:cs="Open Sans"/>
          <w:sz w:val="22"/>
          <w:szCs w:val="22"/>
        </w:rPr>
        <w:t xml:space="preserve">i utrzymania efektów </w:t>
      </w:r>
      <w:r w:rsidR="00F64EFE" w:rsidRPr="00F64EFE">
        <w:rPr>
          <w:rFonts w:ascii="Open Sans" w:hAnsi="Open Sans" w:cs="Open Sans"/>
          <w:sz w:val="22"/>
          <w:szCs w:val="22"/>
        </w:rPr>
        <w:t>projektu)</w:t>
      </w:r>
      <w:r w:rsidR="0052160E" w:rsidRPr="00F64EFE">
        <w:rPr>
          <w:rFonts w:ascii="Open Sans" w:hAnsi="Open Sans" w:cs="Open Sans"/>
          <w:bCs/>
          <w:sz w:val="22"/>
          <w:szCs w:val="22"/>
        </w:rPr>
        <w:t>;</w:t>
      </w:r>
    </w:p>
    <w:p w14:paraId="2C721756" w14:textId="77777777" w:rsidR="00A627EB" w:rsidRPr="002621E1" w:rsidRDefault="002621E1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>w</w:t>
      </w:r>
      <w:r w:rsidR="00634B36" w:rsidRPr="002621E1">
        <w:rPr>
          <w:rFonts w:ascii="Open Sans" w:hAnsi="Open Sans" w:cs="Open Sans"/>
          <w:color w:val="000000"/>
          <w:sz w:val="22"/>
          <w:szCs w:val="22"/>
        </w:rPr>
        <w:t>artości niematerialne i prawne;</w:t>
      </w:r>
    </w:p>
    <w:p w14:paraId="2FF60F8A" w14:textId="77777777" w:rsidR="00634B36" w:rsidRPr="002621E1" w:rsidRDefault="002621E1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>p</w:t>
      </w:r>
      <w:r w:rsidR="00634B36" w:rsidRPr="002621E1">
        <w:rPr>
          <w:rFonts w:ascii="Open Sans" w:hAnsi="Open Sans" w:cs="Open Sans"/>
          <w:color w:val="000000"/>
          <w:sz w:val="22"/>
          <w:szCs w:val="22"/>
        </w:rPr>
        <w:t>odatki i opłaty</w:t>
      </w:r>
      <w:r>
        <w:rPr>
          <w:rFonts w:ascii="Open Sans" w:hAnsi="Open Sans" w:cs="Open Sans"/>
          <w:color w:val="000000"/>
          <w:sz w:val="22"/>
          <w:szCs w:val="22"/>
        </w:rPr>
        <w:t>;</w:t>
      </w:r>
    </w:p>
    <w:p w14:paraId="0DBEFE0C" w14:textId="77777777" w:rsidR="00634B36" w:rsidRPr="002621E1" w:rsidRDefault="002621E1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>d</w:t>
      </w:r>
      <w:r w:rsidR="00634B36" w:rsidRPr="002621E1">
        <w:rPr>
          <w:rFonts w:ascii="Open Sans" w:hAnsi="Open Sans" w:cs="Open Sans"/>
          <w:color w:val="000000"/>
          <w:sz w:val="22"/>
          <w:szCs w:val="22"/>
        </w:rPr>
        <w:t>ostawy (inne niż środki trwałe);</w:t>
      </w:r>
    </w:p>
    <w:p w14:paraId="7324CED3" w14:textId="39B48448" w:rsidR="00634B36" w:rsidRPr="002621E1" w:rsidRDefault="00F942DF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n</w:t>
      </w:r>
      <w:r w:rsidR="0052160E" w:rsidRPr="002621E1">
        <w:rPr>
          <w:rFonts w:ascii="Open Sans" w:hAnsi="Open Sans" w:cs="Open Sans"/>
          <w:bCs/>
          <w:sz w:val="22"/>
          <w:szCs w:val="22"/>
        </w:rPr>
        <w:t>adzór/ zarządzanie inwestycją;</w:t>
      </w:r>
    </w:p>
    <w:p w14:paraId="661F64E5" w14:textId="77777777" w:rsidR="00A627EB" w:rsidRPr="0021751B" w:rsidRDefault="00634B36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color w:val="000000"/>
          <w:sz w:val="22"/>
          <w:szCs w:val="22"/>
        </w:rPr>
        <w:t>personel projektu</w:t>
      </w:r>
      <w:r w:rsidR="002621E1">
        <w:rPr>
          <w:rFonts w:ascii="Open Sans" w:hAnsi="Open Sans" w:cs="Open Sans"/>
          <w:color w:val="000000"/>
          <w:sz w:val="22"/>
          <w:szCs w:val="22"/>
        </w:rPr>
        <w:t>;</w:t>
      </w:r>
    </w:p>
    <w:p w14:paraId="5D6E82ED" w14:textId="77777777" w:rsidR="0052160E" w:rsidRPr="002621E1" w:rsidRDefault="00BC6E76" w:rsidP="00DB0A9F">
      <w:pPr>
        <w:pStyle w:val="Akapitzlist"/>
        <w:numPr>
          <w:ilvl w:val="2"/>
          <w:numId w:val="33"/>
        </w:numPr>
        <w:tabs>
          <w:tab w:val="left" w:pos="2410"/>
        </w:tabs>
        <w:spacing w:after="80" w:line="276" w:lineRule="auto"/>
        <w:ind w:left="1418" w:hanging="425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u</w:t>
      </w:r>
      <w:r w:rsidR="0052160E" w:rsidRPr="002621E1">
        <w:rPr>
          <w:rFonts w:ascii="Open Sans" w:hAnsi="Open Sans" w:cs="Open Sans"/>
          <w:bCs/>
          <w:sz w:val="22"/>
          <w:szCs w:val="22"/>
        </w:rPr>
        <w:t xml:space="preserve">sługi zewnętrzne, w tym np.: </w:t>
      </w:r>
    </w:p>
    <w:p w14:paraId="73A1A0DA" w14:textId="7EFEDE1E" w:rsidR="0052160E" w:rsidRPr="002621E1" w:rsidRDefault="0052160E" w:rsidP="00DB0A9F">
      <w:pPr>
        <w:pStyle w:val="Akapitzlist"/>
        <w:numPr>
          <w:ilvl w:val="3"/>
          <w:numId w:val="33"/>
        </w:numPr>
        <w:spacing w:after="80" w:line="276" w:lineRule="auto"/>
        <w:ind w:left="1701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opracowanie dokumentacji projektowej i dokumentacji przetargowej (z</w:t>
      </w:r>
      <w:r w:rsidR="002E233A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wyłączeniem wniosku o dofinansowanie) wraz z kosztami pozyskania niezbędnych opinii i uzgodnień;</w:t>
      </w:r>
    </w:p>
    <w:p w14:paraId="1AA4B479" w14:textId="3D728100" w:rsidR="0052160E" w:rsidRPr="002621E1" w:rsidRDefault="0052160E" w:rsidP="00DB0A9F">
      <w:pPr>
        <w:pStyle w:val="Akapitzlist"/>
        <w:numPr>
          <w:ilvl w:val="3"/>
          <w:numId w:val="33"/>
        </w:numPr>
        <w:spacing w:after="80" w:line="276" w:lineRule="auto"/>
        <w:ind w:left="1701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 xml:space="preserve">koszty i opłaty </w:t>
      </w:r>
      <w:r w:rsidR="00825A99" w:rsidRPr="002621E1">
        <w:rPr>
          <w:rFonts w:ascii="Open Sans" w:hAnsi="Open Sans" w:cs="Open Sans"/>
          <w:bCs/>
          <w:sz w:val="22"/>
          <w:szCs w:val="22"/>
        </w:rPr>
        <w:t>(inne niż uwzględnione w kosztach pośrednich) np.</w:t>
      </w:r>
      <w:r w:rsidR="00AD5AEA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związane z</w:t>
      </w:r>
      <w:r w:rsidR="006826C2" w:rsidRPr="002621E1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pozyskaniem decyzji administracyjnych niezbędnych dla</w:t>
      </w:r>
      <w:r w:rsidR="00AD5AEA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realizacji inwestycji, w</w:t>
      </w:r>
      <w:r w:rsidR="006826C2" w:rsidRPr="002621E1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tym np. pozwolenia na budowę. itp.</w:t>
      </w:r>
      <w:r w:rsidR="006826C2" w:rsidRPr="002621E1">
        <w:rPr>
          <w:rFonts w:ascii="Open Sans" w:hAnsi="Open Sans" w:cs="Open Sans"/>
          <w:bCs/>
          <w:sz w:val="22"/>
          <w:szCs w:val="22"/>
        </w:rPr>
        <w:t>;</w:t>
      </w:r>
    </w:p>
    <w:p w14:paraId="3BAC4160" w14:textId="77777777" w:rsidR="00F34AED" w:rsidRPr="002621E1" w:rsidRDefault="0052160E" w:rsidP="00DB0A9F">
      <w:pPr>
        <w:pStyle w:val="Akapitzlist"/>
        <w:numPr>
          <w:ilvl w:val="3"/>
          <w:numId w:val="33"/>
        </w:numPr>
        <w:spacing w:after="80" w:line="276" w:lineRule="auto"/>
        <w:ind w:left="1701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przygotowanie dokumentacji przetargowej, w tym opracowaniem SIWZ, czy</w:t>
      </w:r>
      <w:r w:rsidR="006826C2" w:rsidRPr="002621E1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sporządzeniem/aktualizacją kosztorysów inwestorskich</w:t>
      </w:r>
      <w:r w:rsidR="006826C2" w:rsidRPr="002621E1">
        <w:rPr>
          <w:rFonts w:ascii="Open Sans" w:hAnsi="Open Sans" w:cs="Open Sans"/>
          <w:bCs/>
          <w:sz w:val="22"/>
          <w:szCs w:val="22"/>
        </w:rPr>
        <w:t>;</w:t>
      </w:r>
      <w:r w:rsidR="00F34AED" w:rsidRPr="002621E1">
        <w:rPr>
          <w:rFonts w:ascii="Open Sans" w:hAnsi="Open Sans" w:cs="Open Sans"/>
          <w:bCs/>
          <w:sz w:val="22"/>
          <w:szCs w:val="22"/>
        </w:rPr>
        <w:t xml:space="preserve"> </w:t>
      </w:r>
    </w:p>
    <w:p w14:paraId="5A54DB49" w14:textId="5E8E23A3" w:rsidR="00BC6E76" w:rsidRPr="002621E1" w:rsidRDefault="0052160E" w:rsidP="00DB0A9F">
      <w:pPr>
        <w:pStyle w:val="Akapitzlist"/>
        <w:numPr>
          <w:ilvl w:val="3"/>
          <w:numId w:val="33"/>
        </w:numPr>
        <w:spacing w:after="80" w:line="276" w:lineRule="auto"/>
        <w:ind w:left="1701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koszty opracowania dokumentacji służącej ocenie oddziaływania na</w:t>
      </w:r>
      <w:r w:rsidR="00AD5AEA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środowisko planowanej inwestycji</w:t>
      </w:r>
      <w:r w:rsidR="006826C2" w:rsidRPr="002621E1">
        <w:rPr>
          <w:rFonts w:ascii="Open Sans" w:hAnsi="Open Sans" w:cs="Open Sans"/>
          <w:bCs/>
          <w:sz w:val="22"/>
          <w:szCs w:val="22"/>
        </w:rPr>
        <w:t>;</w:t>
      </w:r>
    </w:p>
    <w:p w14:paraId="046D7071" w14:textId="77777777" w:rsidR="00F34AED" w:rsidRPr="002621E1" w:rsidRDefault="00F34AED" w:rsidP="00DB0A9F">
      <w:pPr>
        <w:pStyle w:val="Akapitzlist"/>
        <w:numPr>
          <w:ilvl w:val="3"/>
          <w:numId w:val="33"/>
        </w:numPr>
        <w:spacing w:after="120" w:line="276" w:lineRule="auto"/>
        <w:ind w:left="1701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 xml:space="preserve">działania informacyjne i promocyjne. </w:t>
      </w:r>
    </w:p>
    <w:p w14:paraId="2F04086F" w14:textId="20BD1B76" w:rsidR="00100409" w:rsidRPr="00100409" w:rsidRDefault="00124AE7" w:rsidP="00DB0A9F">
      <w:pPr>
        <w:pStyle w:val="Akapitzlist"/>
        <w:numPr>
          <w:ilvl w:val="1"/>
          <w:numId w:val="33"/>
        </w:numPr>
        <w:spacing w:before="120" w:after="120" w:line="276" w:lineRule="auto"/>
        <w:ind w:left="993"/>
        <w:contextualSpacing w:val="0"/>
        <w:rPr>
          <w:rFonts w:ascii="Open Sans" w:hAnsi="Open Sans" w:cs="Open Sans"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lastRenderedPageBreak/>
        <w:t xml:space="preserve">Koszty pośrednie, o których mowa w  Podrozdziale 3.12. </w:t>
      </w:r>
      <w:hyperlink r:id="rId9" w:history="1">
        <w:r w:rsidRPr="002621E1">
          <w:rPr>
            <w:rFonts w:ascii="Open Sans" w:hAnsi="Open Sans" w:cs="Open Sans"/>
            <w:bCs/>
            <w:sz w:val="22"/>
            <w:szCs w:val="22"/>
          </w:rPr>
          <w:t>Wytycznych dotyczących kwalifikowalności wydatków na lata 2021-2027</w:t>
        </w:r>
      </w:hyperlink>
      <w:r w:rsidR="00100409">
        <w:rPr>
          <w:rFonts w:ascii="Open Sans" w:hAnsi="Open Sans" w:cs="Open Sans"/>
          <w:bCs/>
          <w:sz w:val="22"/>
          <w:szCs w:val="22"/>
        </w:rPr>
        <w:t xml:space="preserve"> zostały wyszczególnione w Katalogu kosztów pośrednich stanowiącym załącznik </w:t>
      </w:r>
      <w:r w:rsidR="00100409" w:rsidRPr="00DB0A9F">
        <w:rPr>
          <w:rFonts w:ascii="Open Sans" w:hAnsi="Open Sans" w:cs="Open Sans"/>
          <w:bCs/>
          <w:sz w:val="22"/>
          <w:szCs w:val="22"/>
        </w:rPr>
        <w:t>nr</w:t>
      </w:r>
      <w:r w:rsidR="00AD5AEA">
        <w:rPr>
          <w:rFonts w:ascii="Open Sans" w:hAnsi="Open Sans" w:cs="Open Sans"/>
          <w:bCs/>
          <w:sz w:val="22"/>
          <w:szCs w:val="22"/>
        </w:rPr>
        <w:t> </w:t>
      </w:r>
      <w:r w:rsidR="007874E3" w:rsidRPr="00DB0A9F">
        <w:rPr>
          <w:rFonts w:ascii="Open Sans" w:hAnsi="Open Sans" w:cs="Open Sans"/>
          <w:bCs/>
          <w:sz w:val="22"/>
          <w:szCs w:val="22"/>
        </w:rPr>
        <w:t>10</w:t>
      </w:r>
      <w:r w:rsidR="00AD5AEA">
        <w:rPr>
          <w:rFonts w:ascii="Open Sans" w:hAnsi="Open Sans" w:cs="Open Sans"/>
          <w:bCs/>
          <w:sz w:val="22"/>
          <w:szCs w:val="22"/>
        </w:rPr>
        <w:t> </w:t>
      </w:r>
      <w:r w:rsidR="00100409" w:rsidRPr="00DB0A9F">
        <w:rPr>
          <w:rFonts w:ascii="Open Sans" w:hAnsi="Open Sans" w:cs="Open Sans"/>
          <w:bCs/>
          <w:sz w:val="22"/>
          <w:szCs w:val="22"/>
        </w:rPr>
        <w:t>do Regulaminu naboru Nr</w:t>
      </w:r>
      <w:r w:rsidR="007874E3" w:rsidRPr="007874E3">
        <w:t xml:space="preserve"> </w:t>
      </w:r>
      <w:r w:rsidR="007874E3" w:rsidRPr="007874E3">
        <w:rPr>
          <w:rFonts w:ascii="Open Sans" w:hAnsi="Open Sans" w:cs="Open Sans"/>
          <w:bCs/>
          <w:sz w:val="22"/>
          <w:szCs w:val="22"/>
        </w:rPr>
        <w:t>FENX.01.05-IW.01-003/23</w:t>
      </w:r>
      <w:r w:rsidR="007874E3">
        <w:rPr>
          <w:rFonts w:ascii="Open Sans" w:hAnsi="Open Sans" w:cs="Open Sans"/>
          <w:bCs/>
          <w:sz w:val="22"/>
          <w:szCs w:val="22"/>
        </w:rPr>
        <w:t>.</w:t>
      </w:r>
      <w:r w:rsidR="00100409">
        <w:rPr>
          <w:rFonts w:ascii="Open Sans" w:hAnsi="Open Sans" w:cs="Open Sans"/>
          <w:bCs/>
          <w:sz w:val="22"/>
          <w:szCs w:val="22"/>
        </w:rPr>
        <w:t xml:space="preserve"> </w:t>
      </w:r>
    </w:p>
    <w:p w14:paraId="48C458EC" w14:textId="7154A964" w:rsidR="00F34AED" w:rsidRPr="002621E1" w:rsidRDefault="00825A99" w:rsidP="00AD5AEA">
      <w:pPr>
        <w:pStyle w:val="Akapitzlist"/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621E1">
        <w:rPr>
          <w:rFonts w:ascii="Open Sans" w:hAnsi="Open Sans" w:cs="Open Sans"/>
          <w:sz w:val="22"/>
          <w:szCs w:val="22"/>
        </w:rPr>
        <w:t>Niedopuszczalna jest sytuacja, w której koszty pośrednie zostaną rozliczone w</w:t>
      </w:r>
      <w:r w:rsidR="00AD5AEA">
        <w:rPr>
          <w:rFonts w:ascii="Open Sans" w:hAnsi="Open Sans" w:cs="Open Sans"/>
          <w:sz w:val="22"/>
          <w:szCs w:val="22"/>
        </w:rPr>
        <w:t> </w:t>
      </w:r>
      <w:r w:rsidRPr="002621E1">
        <w:rPr>
          <w:rFonts w:ascii="Open Sans" w:hAnsi="Open Sans" w:cs="Open Sans"/>
          <w:sz w:val="22"/>
          <w:szCs w:val="22"/>
        </w:rPr>
        <w:t>ramach kosztów bezpośrednich.</w:t>
      </w:r>
    </w:p>
    <w:p w14:paraId="660E2840" w14:textId="2C10248A" w:rsidR="006F525D" w:rsidRPr="002621E1" w:rsidRDefault="006F525D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621E1">
        <w:rPr>
          <w:rFonts w:ascii="Open Sans" w:hAnsi="Open Sans" w:cs="Open Sans"/>
          <w:sz w:val="22"/>
          <w:szCs w:val="22"/>
        </w:rPr>
        <w:t xml:space="preserve">W ramach projektów nie będą </w:t>
      </w:r>
      <w:r w:rsidR="00777666" w:rsidRPr="002621E1">
        <w:rPr>
          <w:rFonts w:ascii="Open Sans" w:hAnsi="Open Sans" w:cs="Open Sans"/>
          <w:sz w:val="22"/>
          <w:szCs w:val="22"/>
        </w:rPr>
        <w:t>kwalifikowalne</w:t>
      </w:r>
      <w:r w:rsidR="00DF055F" w:rsidRPr="002621E1">
        <w:rPr>
          <w:rFonts w:ascii="Open Sans" w:hAnsi="Open Sans" w:cs="Open Sans"/>
          <w:sz w:val="22"/>
          <w:szCs w:val="22"/>
        </w:rPr>
        <w:t xml:space="preserve"> m.in.:</w:t>
      </w:r>
    </w:p>
    <w:p w14:paraId="475C53EC" w14:textId="41C9B90F" w:rsidR="006D6210" w:rsidRPr="00F64EFE" w:rsidRDefault="00810860" w:rsidP="004712BF">
      <w:pPr>
        <w:pStyle w:val="Akapitzlist"/>
        <w:numPr>
          <w:ilvl w:val="1"/>
          <w:numId w:val="33"/>
        </w:numPr>
        <w:spacing w:before="60" w:after="60" w:line="276" w:lineRule="auto"/>
        <w:ind w:left="1134" w:hanging="357"/>
        <w:contextualSpacing w:val="0"/>
        <w:rPr>
          <w:rFonts w:ascii="Open Sans" w:hAnsi="Open Sans" w:cs="Open Sans"/>
          <w:bCs/>
          <w:sz w:val="22"/>
          <w:szCs w:val="22"/>
        </w:rPr>
      </w:pPr>
      <w:bookmarkStart w:id="0" w:name="_Hlk143256635"/>
      <w:r w:rsidRPr="00810860">
        <w:rPr>
          <w:rFonts w:ascii="Open Sans" w:hAnsi="Open Sans" w:cs="Open Sans"/>
          <w:bCs/>
          <w:sz w:val="22"/>
          <w:szCs w:val="22"/>
        </w:rPr>
        <w:t>inna infrastruktura niż wskazana w pkt. II. pkt 1) lit. a);</w:t>
      </w:r>
    </w:p>
    <w:p w14:paraId="3C0C592E" w14:textId="192D2C36" w:rsidR="006D6210" w:rsidRDefault="00810860" w:rsidP="004712BF">
      <w:pPr>
        <w:pStyle w:val="Akapitzlist"/>
        <w:numPr>
          <w:ilvl w:val="1"/>
          <w:numId w:val="33"/>
        </w:numPr>
        <w:spacing w:before="60" w:after="60" w:line="276" w:lineRule="auto"/>
        <w:ind w:left="1134" w:hanging="357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bCs/>
          <w:sz w:val="22"/>
          <w:szCs w:val="22"/>
        </w:rPr>
        <w:t>zakup środków transportu</w:t>
      </w:r>
      <w:r w:rsidR="006D6210" w:rsidRPr="006D6210">
        <w:rPr>
          <w:rFonts w:ascii="Open Sans" w:hAnsi="Open Sans" w:cs="Open Sans"/>
          <w:bCs/>
          <w:sz w:val="22"/>
          <w:szCs w:val="22"/>
        </w:rPr>
        <w:t>;</w:t>
      </w:r>
    </w:p>
    <w:p w14:paraId="6571BE8A" w14:textId="08AEDEA9" w:rsidR="0074756F" w:rsidRPr="006D6210" w:rsidRDefault="0074756F" w:rsidP="004712BF">
      <w:pPr>
        <w:pStyle w:val="Akapitzlist"/>
        <w:numPr>
          <w:ilvl w:val="1"/>
          <w:numId w:val="33"/>
        </w:numPr>
        <w:spacing w:before="60" w:after="60" w:line="276" w:lineRule="auto"/>
        <w:ind w:left="1134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74756F">
        <w:rPr>
          <w:rFonts w:ascii="Open Sans" w:hAnsi="Open Sans" w:cs="Open Sans"/>
          <w:bCs/>
          <w:sz w:val="22"/>
          <w:szCs w:val="22"/>
        </w:rPr>
        <w:t>drogi dojazdowe, parkingi</w:t>
      </w:r>
      <w:r w:rsidR="00E217E5">
        <w:rPr>
          <w:rFonts w:ascii="Open Sans" w:hAnsi="Open Sans" w:cs="Open Sans"/>
          <w:bCs/>
          <w:sz w:val="22"/>
          <w:szCs w:val="22"/>
        </w:rPr>
        <w:t xml:space="preserve"> </w:t>
      </w:r>
      <w:r w:rsidR="00175558">
        <w:rPr>
          <w:rFonts w:ascii="Open Sans" w:hAnsi="Open Sans" w:cs="Open Sans"/>
          <w:bCs/>
          <w:sz w:val="22"/>
          <w:szCs w:val="22"/>
        </w:rPr>
        <w:t>chyba, że</w:t>
      </w:r>
      <w:r w:rsidR="00E217E5">
        <w:rPr>
          <w:rFonts w:ascii="Open Sans" w:hAnsi="Open Sans" w:cs="Open Sans"/>
          <w:bCs/>
          <w:sz w:val="22"/>
          <w:szCs w:val="22"/>
        </w:rPr>
        <w:t xml:space="preserve"> </w:t>
      </w:r>
      <w:r w:rsidR="00175558" w:rsidRPr="00CE2229">
        <w:rPr>
          <w:rFonts w:ascii="Open Sans" w:hAnsi="Open Sans" w:cs="Open Sans"/>
          <w:color w:val="000000"/>
          <w:sz w:val="22"/>
          <w:szCs w:val="22"/>
        </w:rPr>
        <w:t>potrzeba ich budowy wynika z zapisów planu ochrony dla danego obszaru lub konieczności ograniczenia presji ze strony ruchu turystycznego na ten obszar</w:t>
      </w:r>
      <w:r w:rsidR="00862EF7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175558" w:rsidRPr="00CE2229">
        <w:rPr>
          <w:rFonts w:ascii="Open Sans" w:hAnsi="Open Sans" w:cs="Open Sans"/>
          <w:color w:val="000000"/>
          <w:sz w:val="22"/>
          <w:szCs w:val="22"/>
        </w:rPr>
        <w:t>. Ww. wydatki będą stanowić wyłącznie element projektu i będą ograniczone do 20%</w:t>
      </w:r>
      <w:r w:rsidRPr="0074756F">
        <w:rPr>
          <w:rFonts w:ascii="Open Sans" w:hAnsi="Open Sans" w:cs="Open Sans"/>
          <w:bCs/>
          <w:sz w:val="22"/>
          <w:szCs w:val="22"/>
        </w:rPr>
        <w:t>;</w:t>
      </w:r>
    </w:p>
    <w:p w14:paraId="71A438D3" w14:textId="77777777" w:rsidR="00810860" w:rsidRPr="00810860" w:rsidRDefault="00810860" w:rsidP="004712BF">
      <w:pPr>
        <w:pStyle w:val="Akapitzlist"/>
        <w:numPr>
          <w:ilvl w:val="1"/>
          <w:numId w:val="33"/>
        </w:numPr>
        <w:spacing w:before="60" w:after="60"/>
        <w:ind w:left="1134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810860">
        <w:rPr>
          <w:rFonts w:ascii="Open Sans" w:hAnsi="Open Sans" w:cs="Open Sans"/>
          <w:bCs/>
          <w:sz w:val="22"/>
          <w:szCs w:val="22"/>
        </w:rPr>
        <w:t>zakup nieruchomości, koszty związane z nabyciem prawa użytkowania wieczystego i innych tytułów prawnych do nieruchomości;</w:t>
      </w:r>
    </w:p>
    <w:p w14:paraId="271E1725" w14:textId="1F62998B" w:rsidR="00514D52" w:rsidRDefault="00810860" w:rsidP="004712BF">
      <w:pPr>
        <w:pStyle w:val="Akapitzlist"/>
        <w:numPr>
          <w:ilvl w:val="1"/>
          <w:numId w:val="33"/>
        </w:numPr>
        <w:spacing w:before="60" w:after="60" w:line="276" w:lineRule="auto"/>
        <w:ind w:left="1134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810860">
        <w:rPr>
          <w:rFonts w:ascii="Open Sans" w:hAnsi="Open Sans" w:cs="Open Sans"/>
          <w:bCs/>
          <w:sz w:val="22"/>
          <w:szCs w:val="22"/>
        </w:rPr>
        <w:t>koszty związane z bezpośrednią działalnością edukacyjną tzn. koszty prowadzenia zajęć edukacyjnych, szkoleń, warsztatów, imprez edukacyjnych itp.;</w:t>
      </w:r>
    </w:p>
    <w:p w14:paraId="3C56CE6B" w14:textId="1851D683" w:rsidR="00810860" w:rsidRPr="00810860" w:rsidRDefault="00810860" w:rsidP="004712BF">
      <w:pPr>
        <w:pStyle w:val="Akapitzlist"/>
        <w:numPr>
          <w:ilvl w:val="1"/>
          <w:numId w:val="33"/>
        </w:numPr>
        <w:spacing w:before="60" w:after="60" w:line="276" w:lineRule="auto"/>
        <w:ind w:left="1134" w:hanging="357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bCs/>
          <w:sz w:val="22"/>
          <w:szCs w:val="22"/>
        </w:rPr>
        <w:t xml:space="preserve">druk </w:t>
      </w:r>
      <w:r w:rsidR="006D6210" w:rsidRPr="00AE71C9">
        <w:rPr>
          <w:rFonts w:ascii="Open Sans" w:hAnsi="Open Sans" w:cs="Open Sans"/>
          <w:bCs/>
          <w:sz w:val="22"/>
          <w:szCs w:val="22"/>
        </w:rPr>
        <w:t>publikacj</w:t>
      </w:r>
      <w:r>
        <w:rPr>
          <w:rFonts w:ascii="Open Sans" w:hAnsi="Open Sans" w:cs="Open Sans"/>
          <w:bCs/>
          <w:sz w:val="22"/>
          <w:szCs w:val="22"/>
        </w:rPr>
        <w:t>i</w:t>
      </w:r>
      <w:r w:rsidR="006D6210" w:rsidRPr="00AE71C9">
        <w:rPr>
          <w:rFonts w:ascii="Open Sans" w:hAnsi="Open Sans" w:cs="Open Sans"/>
          <w:bCs/>
          <w:sz w:val="22"/>
          <w:szCs w:val="22"/>
        </w:rPr>
        <w:t xml:space="preserve">, broszur, </w:t>
      </w:r>
      <w:r w:rsidRPr="00810860">
        <w:rPr>
          <w:rFonts w:ascii="Open Sans" w:hAnsi="Open Sans" w:cs="Open Sans"/>
          <w:bCs/>
          <w:sz w:val="22"/>
          <w:szCs w:val="22"/>
        </w:rPr>
        <w:t>ulotek</w:t>
      </w:r>
      <w:r w:rsidR="004712BF">
        <w:rPr>
          <w:rFonts w:ascii="Open Sans" w:hAnsi="Open Sans" w:cs="Open Sans"/>
          <w:bCs/>
          <w:sz w:val="22"/>
          <w:szCs w:val="22"/>
        </w:rPr>
        <w:t>;</w:t>
      </w:r>
    </w:p>
    <w:p w14:paraId="486AA5D5" w14:textId="737F78BF" w:rsidR="006D6210" w:rsidRPr="00514D52" w:rsidRDefault="00810860" w:rsidP="004712BF">
      <w:pPr>
        <w:pStyle w:val="Akapitzlist"/>
        <w:numPr>
          <w:ilvl w:val="1"/>
          <w:numId w:val="33"/>
        </w:numPr>
        <w:spacing w:before="60" w:after="60" w:line="276" w:lineRule="auto"/>
        <w:ind w:left="1134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810860">
        <w:rPr>
          <w:rFonts w:ascii="Open Sans" w:hAnsi="Open Sans" w:cs="Open Sans"/>
          <w:bCs/>
          <w:sz w:val="22"/>
          <w:szCs w:val="22"/>
        </w:rPr>
        <w:t>zakup gadżetów</w:t>
      </w:r>
      <w:r w:rsidR="004712BF">
        <w:rPr>
          <w:rFonts w:ascii="Open Sans" w:hAnsi="Open Sans" w:cs="Open Sans"/>
          <w:bCs/>
          <w:sz w:val="22"/>
          <w:szCs w:val="22"/>
        </w:rPr>
        <w:t>;</w:t>
      </w:r>
    </w:p>
    <w:p w14:paraId="3E68A97B" w14:textId="77777777" w:rsidR="00DF055F" w:rsidRPr="00514D52" w:rsidRDefault="00DF055F" w:rsidP="004712BF">
      <w:pPr>
        <w:pStyle w:val="Akapitzlist"/>
        <w:numPr>
          <w:ilvl w:val="1"/>
          <w:numId w:val="33"/>
        </w:numPr>
        <w:spacing w:before="60" w:after="60" w:line="276" w:lineRule="auto"/>
        <w:ind w:left="1134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514D52">
        <w:rPr>
          <w:rFonts w:ascii="Open Sans" w:hAnsi="Open Sans" w:cs="Open Sans"/>
          <w:bCs/>
          <w:sz w:val="22"/>
          <w:szCs w:val="22"/>
        </w:rPr>
        <w:t>wkład niepieniężny;</w:t>
      </w:r>
    </w:p>
    <w:p w14:paraId="7C0F4838" w14:textId="6DE46753" w:rsidR="00A511CE" w:rsidRPr="00514D52" w:rsidRDefault="004774B5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sz w:val="22"/>
          <w:szCs w:val="22"/>
        </w:rPr>
      </w:pPr>
      <w:r w:rsidRPr="00514D52">
        <w:rPr>
          <w:rFonts w:ascii="Open Sans" w:hAnsi="Open Sans" w:cs="Open Sans"/>
          <w:bCs/>
          <w:sz w:val="22"/>
          <w:szCs w:val="22"/>
        </w:rPr>
        <w:t>amortyzacja i leasing środków trwałych oraz wartości niematerialnych i</w:t>
      </w:r>
      <w:r w:rsidR="00AD5AEA">
        <w:rPr>
          <w:rFonts w:ascii="Open Sans" w:hAnsi="Open Sans" w:cs="Open Sans"/>
          <w:bCs/>
          <w:sz w:val="22"/>
          <w:szCs w:val="22"/>
        </w:rPr>
        <w:t> </w:t>
      </w:r>
      <w:r w:rsidRPr="00514D52">
        <w:rPr>
          <w:rFonts w:ascii="Open Sans" w:hAnsi="Open Sans" w:cs="Open Sans"/>
          <w:bCs/>
          <w:sz w:val="22"/>
          <w:szCs w:val="22"/>
        </w:rPr>
        <w:t>prawnych</w:t>
      </w:r>
      <w:r w:rsidR="00777666" w:rsidRPr="00514D52">
        <w:rPr>
          <w:rFonts w:ascii="Open Sans" w:hAnsi="Open Sans" w:cs="Open Sans"/>
          <w:bCs/>
          <w:sz w:val="22"/>
          <w:szCs w:val="22"/>
        </w:rPr>
        <w:t>.</w:t>
      </w:r>
      <w:bookmarkEnd w:id="0"/>
    </w:p>
    <w:p w14:paraId="43FA6D2F" w14:textId="40B096E4" w:rsidR="00110E12" w:rsidRPr="002621E1" w:rsidRDefault="00F34AED" w:rsidP="00DB0A9F">
      <w:pPr>
        <w:pStyle w:val="Akapitzlist"/>
        <w:spacing w:before="120" w:after="120" w:line="276" w:lineRule="auto"/>
        <w:ind w:left="709" w:hanging="709"/>
        <w:contextualSpacing w:val="0"/>
      </w:pPr>
      <w:r w:rsidRPr="002621E1">
        <w:rPr>
          <w:rFonts w:ascii="Open Sans" w:hAnsi="Open Sans" w:cs="Open Sans"/>
          <w:sz w:val="22"/>
          <w:szCs w:val="22"/>
        </w:rPr>
        <w:t>VI.</w:t>
      </w:r>
      <w:r w:rsidR="007874E3">
        <w:rPr>
          <w:rFonts w:ascii="Open Sans" w:hAnsi="Open Sans" w:cs="Open Sans"/>
          <w:sz w:val="22"/>
          <w:szCs w:val="22"/>
        </w:rPr>
        <w:tab/>
      </w:r>
      <w:r w:rsidR="00125078" w:rsidRPr="002621E1">
        <w:rPr>
          <w:rFonts w:ascii="Open Sans" w:hAnsi="Open Sans" w:cs="Open Sans"/>
          <w:sz w:val="22"/>
          <w:szCs w:val="22"/>
        </w:rPr>
        <w:t>Dodatkowo, w</w:t>
      </w:r>
      <w:r w:rsidR="00A511CE" w:rsidRPr="002621E1">
        <w:rPr>
          <w:rFonts w:ascii="Open Sans" w:hAnsi="Open Sans" w:cs="Open Sans"/>
          <w:sz w:val="22"/>
          <w:szCs w:val="22"/>
        </w:rPr>
        <w:t>ydatkami niekwalifikowalnymi są wydatki wskazane w art. 64 rozporządzenia</w:t>
      </w:r>
      <w:r w:rsidR="00D74341" w:rsidRPr="002621E1">
        <w:rPr>
          <w:rFonts w:ascii="Open Sans" w:hAnsi="Open Sans" w:cs="Open Sans"/>
          <w:sz w:val="22"/>
          <w:szCs w:val="22"/>
        </w:rPr>
        <w:t xml:space="preserve"> ogólnego</w:t>
      </w:r>
      <w:r w:rsidR="00A66F82" w:rsidRPr="002621E1">
        <w:rPr>
          <w:rFonts w:ascii="Open Sans" w:hAnsi="Open Sans" w:cs="Open Sans"/>
          <w:sz w:val="22"/>
          <w:szCs w:val="22"/>
        </w:rPr>
        <w:t xml:space="preserve">, </w:t>
      </w:r>
      <w:r w:rsidR="00A511CE" w:rsidRPr="002621E1">
        <w:rPr>
          <w:rFonts w:ascii="Open Sans" w:hAnsi="Open Sans" w:cs="Open Sans"/>
          <w:sz w:val="22"/>
          <w:szCs w:val="22"/>
        </w:rPr>
        <w:t>art. 7 ust. 1 i 5 rozporządzenia EFRR i FS, oraz</w:t>
      </w:r>
      <w:r w:rsidR="0052160E" w:rsidRPr="002621E1">
        <w:rPr>
          <w:rFonts w:ascii="Open Sans" w:hAnsi="Open Sans" w:cs="Open Sans"/>
          <w:sz w:val="22"/>
          <w:szCs w:val="22"/>
        </w:rPr>
        <w:t xml:space="preserve"> podrozdziale 2.3. Wydatki niekwalifikowalne </w:t>
      </w:r>
      <w:hyperlink r:id="rId10" w:history="1">
        <w:r w:rsidR="0052160E" w:rsidRPr="002621E1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na lata 2021-2027</w:t>
        </w:r>
      </w:hyperlink>
      <w:r w:rsidR="00BC6E76" w:rsidRPr="002621E1">
        <w:rPr>
          <w:rFonts w:ascii="Open Sans" w:hAnsi="Open Sans" w:cs="Open Sans"/>
          <w:sz w:val="22"/>
          <w:szCs w:val="22"/>
        </w:rPr>
        <w:t>.</w:t>
      </w:r>
    </w:p>
    <w:sectPr w:rsidR="00110E12" w:rsidRPr="002621E1" w:rsidSect="00515FB1">
      <w:footerReference w:type="even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8DC6F" w14:textId="77777777" w:rsidR="0010496B" w:rsidRDefault="0010496B">
      <w:r>
        <w:separator/>
      </w:r>
    </w:p>
  </w:endnote>
  <w:endnote w:type="continuationSeparator" w:id="0">
    <w:p w14:paraId="1F59BB8C" w14:textId="77777777" w:rsidR="0010496B" w:rsidRDefault="00104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554E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5C7510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85C7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E71C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26D63E" w14:textId="77777777" w:rsidR="003E70AC" w:rsidRDefault="003E70AC" w:rsidP="00447A9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B6290" w14:textId="77777777" w:rsidR="0010496B" w:rsidRDefault="0010496B">
      <w:r>
        <w:separator/>
      </w:r>
    </w:p>
  </w:footnote>
  <w:footnote w:type="continuationSeparator" w:id="0">
    <w:p w14:paraId="247EE8FA" w14:textId="77777777" w:rsidR="0010496B" w:rsidRDefault="00104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0C7C6" w14:textId="51EB155F" w:rsidR="00FC73C9" w:rsidRDefault="00FC78A3">
    <w:pPr>
      <w:pStyle w:val="Nagwek"/>
    </w:pPr>
    <w:r>
      <w:rPr>
        <w:noProof/>
      </w:rPr>
      <w:drawing>
        <wp:inline distT="0" distB="0" distL="0" distR="0" wp14:anchorId="0840168B" wp14:editId="7140CEA4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5A46"/>
    <w:multiLevelType w:val="hybridMultilevel"/>
    <w:tmpl w:val="CCA431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D53E2"/>
    <w:multiLevelType w:val="hybridMultilevel"/>
    <w:tmpl w:val="66EE1644"/>
    <w:lvl w:ilvl="0" w:tplc="04150017">
      <w:start w:val="1"/>
      <w:numFmt w:val="lowerLetter"/>
      <w:lvlText w:val="%1)"/>
      <w:lvlJc w:val="left"/>
      <w:pPr>
        <w:ind w:left="2743" w:hanging="360"/>
      </w:pPr>
    </w:lvl>
    <w:lvl w:ilvl="1" w:tplc="04150019" w:tentative="1">
      <w:start w:val="1"/>
      <w:numFmt w:val="lowerLetter"/>
      <w:lvlText w:val="%2."/>
      <w:lvlJc w:val="left"/>
      <w:pPr>
        <w:ind w:left="3463" w:hanging="360"/>
      </w:pPr>
    </w:lvl>
    <w:lvl w:ilvl="2" w:tplc="0415001B" w:tentative="1">
      <w:start w:val="1"/>
      <w:numFmt w:val="lowerRoman"/>
      <w:lvlText w:val="%3."/>
      <w:lvlJc w:val="right"/>
      <w:pPr>
        <w:ind w:left="4183" w:hanging="180"/>
      </w:pPr>
    </w:lvl>
    <w:lvl w:ilvl="3" w:tplc="0415000F" w:tentative="1">
      <w:start w:val="1"/>
      <w:numFmt w:val="decimal"/>
      <w:lvlText w:val="%4."/>
      <w:lvlJc w:val="left"/>
      <w:pPr>
        <w:ind w:left="4903" w:hanging="360"/>
      </w:pPr>
    </w:lvl>
    <w:lvl w:ilvl="4" w:tplc="04150019" w:tentative="1">
      <w:start w:val="1"/>
      <w:numFmt w:val="lowerLetter"/>
      <w:lvlText w:val="%5."/>
      <w:lvlJc w:val="left"/>
      <w:pPr>
        <w:ind w:left="5623" w:hanging="360"/>
      </w:pPr>
    </w:lvl>
    <w:lvl w:ilvl="5" w:tplc="0415001B" w:tentative="1">
      <w:start w:val="1"/>
      <w:numFmt w:val="lowerRoman"/>
      <w:lvlText w:val="%6."/>
      <w:lvlJc w:val="right"/>
      <w:pPr>
        <w:ind w:left="6343" w:hanging="180"/>
      </w:pPr>
    </w:lvl>
    <w:lvl w:ilvl="6" w:tplc="0415000F" w:tentative="1">
      <w:start w:val="1"/>
      <w:numFmt w:val="decimal"/>
      <w:lvlText w:val="%7."/>
      <w:lvlJc w:val="left"/>
      <w:pPr>
        <w:ind w:left="7063" w:hanging="360"/>
      </w:pPr>
    </w:lvl>
    <w:lvl w:ilvl="7" w:tplc="04150019" w:tentative="1">
      <w:start w:val="1"/>
      <w:numFmt w:val="lowerLetter"/>
      <w:lvlText w:val="%8."/>
      <w:lvlJc w:val="left"/>
      <w:pPr>
        <w:ind w:left="7783" w:hanging="360"/>
      </w:pPr>
    </w:lvl>
    <w:lvl w:ilvl="8" w:tplc="0415001B" w:tentative="1">
      <w:start w:val="1"/>
      <w:numFmt w:val="lowerRoman"/>
      <w:lvlText w:val="%9."/>
      <w:lvlJc w:val="right"/>
      <w:pPr>
        <w:ind w:left="8503" w:hanging="180"/>
      </w:pPr>
    </w:lvl>
  </w:abstractNum>
  <w:abstractNum w:abstractNumId="2" w15:restartNumberingAfterBreak="0">
    <w:nsid w:val="075E631A"/>
    <w:multiLevelType w:val="hybridMultilevel"/>
    <w:tmpl w:val="2ADED4A8"/>
    <w:lvl w:ilvl="0" w:tplc="EDEAD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77D73"/>
    <w:multiLevelType w:val="hybridMultilevel"/>
    <w:tmpl w:val="6B306D66"/>
    <w:lvl w:ilvl="0" w:tplc="1464AE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8333A6"/>
    <w:multiLevelType w:val="hybridMultilevel"/>
    <w:tmpl w:val="D0F83F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9C095A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658FB"/>
    <w:multiLevelType w:val="hybridMultilevel"/>
    <w:tmpl w:val="17EAC2E2"/>
    <w:lvl w:ilvl="0" w:tplc="F7F2829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ED66A9"/>
    <w:multiLevelType w:val="hybridMultilevel"/>
    <w:tmpl w:val="A0AEA59E"/>
    <w:lvl w:ilvl="0" w:tplc="05DE5FC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E562D7"/>
    <w:multiLevelType w:val="hybridMultilevel"/>
    <w:tmpl w:val="20A47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72F0E"/>
    <w:multiLevelType w:val="hybridMultilevel"/>
    <w:tmpl w:val="3502ED72"/>
    <w:lvl w:ilvl="0" w:tplc="0ACA2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C84835"/>
    <w:multiLevelType w:val="hybridMultilevel"/>
    <w:tmpl w:val="59F46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E3E1B"/>
    <w:multiLevelType w:val="hybridMultilevel"/>
    <w:tmpl w:val="1DFA5F00"/>
    <w:lvl w:ilvl="0" w:tplc="E746FA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433FC"/>
    <w:multiLevelType w:val="hybridMultilevel"/>
    <w:tmpl w:val="2934234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7E1CA9"/>
    <w:multiLevelType w:val="hybridMultilevel"/>
    <w:tmpl w:val="272299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23FF8"/>
    <w:multiLevelType w:val="hybridMultilevel"/>
    <w:tmpl w:val="D59C5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46DCB"/>
    <w:multiLevelType w:val="hybridMultilevel"/>
    <w:tmpl w:val="83DAC2F8"/>
    <w:lvl w:ilvl="0" w:tplc="979CD7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58F6586"/>
    <w:multiLevelType w:val="hybridMultilevel"/>
    <w:tmpl w:val="92B2356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B387AD4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 w:tplc="1C3A66A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0057C7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44552A63"/>
    <w:multiLevelType w:val="hybridMultilevel"/>
    <w:tmpl w:val="B4EEA4A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0D0317"/>
    <w:multiLevelType w:val="hybridMultilevel"/>
    <w:tmpl w:val="74740ED6"/>
    <w:lvl w:ilvl="0" w:tplc="7218669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EF26C37"/>
    <w:multiLevelType w:val="hybridMultilevel"/>
    <w:tmpl w:val="86DAFFDE"/>
    <w:lvl w:ilvl="0" w:tplc="4D7E67A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5F6EAA"/>
    <w:multiLevelType w:val="hybridMultilevel"/>
    <w:tmpl w:val="9FAC0A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825BD7"/>
    <w:multiLevelType w:val="hybridMultilevel"/>
    <w:tmpl w:val="2A161112"/>
    <w:lvl w:ilvl="0" w:tplc="0415001B">
      <w:start w:val="1"/>
      <w:numFmt w:val="lowerRoman"/>
      <w:lvlText w:val="%1."/>
      <w:lvlJc w:val="right"/>
      <w:pPr>
        <w:ind w:left="248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2" w15:restartNumberingAfterBreak="0">
    <w:nsid w:val="58771F0C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3" w15:restartNumberingAfterBreak="0">
    <w:nsid w:val="5BE9412A"/>
    <w:multiLevelType w:val="hybridMultilevel"/>
    <w:tmpl w:val="24F8C760"/>
    <w:lvl w:ilvl="0" w:tplc="397834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D27B0F"/>
    <w:multiLevelType w:val="hybridMultilevel"/>
    <w:tmpl w:val="03507B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D5ACC2C6">
      <w:start w:val="10"/>
      <w:numFmt w:val="upperRoman"/>
      <w:lvlText w:val="%2."/>
      <w:lvlJc w:val="left"/>
      <w:pPr>
        <w:ind w:left="21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896392"/>
    <w:multiLevelType w:val="hybridMultilevel"/>
    <w:tmpl w:val="86946F70"/>
    <w:lvl w:ilvl="0" w:tplc="9440EA06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637E57"/>
    <w:multiLevelType w:val="hybridMultilevel"/>
    <w:tmpl w:val="B5529342"/>
    <w:lvl w:ilvl="0" w:tplc="306CE7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005572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8" w15:restartNumberingAfterBreak="0">
    <w:nsid w:val="63812B08"/>
    <w:multiLevelType w:val="hybridMultilevel"/>
    <w:tmpl w:val="0C58EDF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45B497F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A34885"/>
    <w:multiLevelType w:val="hybridMultilevel"/>
    <w:tmpl w:val="B0484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21A3D"/>
    <w:multiLevelType w:val="hybridMultilevel"/>
    <w:tmpl w:val="83A612AC"/>
    <w:lvl w:ilvl="0" w:tplc="F13C1CFA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0215A4"/>
    <w:multiLevelType w:val="hybridMultilevel"/>
    <w:tmpl w:val="0A20AE5E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326742">
    <w:abstractNumId w:val="15"/>
  </w:num>
  <w:num w:numId="2" w16cid:durableId="2019888179">
    <w:abstractNumId w:val="30"/>
  </w:num>
  <w:num w:numId="3" w16cid:durableId="998969688">
    <w:abstractNumId w:val="4"/>
  </w:num>
  <w:num w:numId="4" w16cid:durableId="32003885">
    <w:abstractNumId w:val="1"/>
  </w:num>
  <w:num w:numId="5" w16cid:durableId="713315701">
    <w:abstractNumId w:val="24"/>
  </w:num>
  <w:num w:numId="6" w16cid:durableId="612901090">
    <w:abstractNumId w:val="23"/>
  </w:num>
  <w:num w:numId="7" w16cid:durableId="1066226200">
    <w:abstractNumId w:val="18"/>
  </w:num>
  <w:num w:numId="8" w16cid:durableId="392117404">
    <w:abstractNumId w:val="7"/>
  </w:num>
  <w:num w:numId="9" w16cid:durableId="1597441063">
    <w:abstractNumId w:val="19"/>
  </w:num>
  <w:num w:numId="10" w16cid:durableId="1761873069">
    <w:abstractNumId w:val="32"/>
  </w:num>
  <w:num w:numId="11" w16cid:durableId="1983387373">
    <w:abstractNumId w:val="17"/>
  </w:num>
  <w:num w:numId="12" w16cid:durableId="1120539253">
    <w:abstractNumId w:val="28"/>
  </w:num>
  <w:num w:numId="13" w16cid:durableId="1344356803">
    <w:abstractNumId w:val="14"/>
  </w:num>
  <w:num w:numId="14" w16cid:durableId="664210214">
    <w:abstractNumId w:val="20"/>
  </w:num>
  <w:num w:numId="15" w16cid:durableId="1832402155">
    <w:abstractNumId w:val="31"/>
  </w:num>
  <w:num w:numId="16" w16cid:durableId="1149787939">
    <w:abstractNumId w:val="29"/>
  </w:num>
  <w:num w:numId="17" w16cid:durableId="182600252">
    <w:abstractNumId w:val="11"/>
  </w:num>
  <w:num w:numId="18" w16cid:durableId="962155355">
    <w:abstractNumId w:val="13"/>
  </w:num>
  <w:num w:numId="19" w16cid:durableId="307980156">
    <w:abstractNumId w:val="25"/>
  </w:num>
  <w:num w:numId="20" w16cid:durableId="1579166339">
    <w:abstractNumId w:val="26"/>
  </w:num>
  <w:num w:numId="21" w16cid:durableId="245461699">
    <w:abstractNumId w:val="3"/>
  </w:num>
  <w:num w:numId="22" w16cid:durableId="93791917">
    <w:abstractNumId w:val="2"/>
  </w:num>
  <w:num w:numId="23" w16cid:durableId="1962148479">
    <w:abstractNumId w:val="6"/>
  </w:num>
  <w:num w:numId="24" w16cid:durableId="2071340845">
    <w:abstractNumId w:val="5"/>
  </w:num>
  <w:num w:numId="25" w16cid:durableId="600182392">
    <w:abstractNumId w:val="9"/>
  </w:num>
  <w:num w:numId="26" w16cid:durableId="1184436053">
    <w:abstractNumId w:val="21"/>
  </w:num>
  <w:num w:numId="27" w16cid:durableId="1732460578">
    <w:abstractNumId w:val="8"/>
  </w:num>
  <w:num w:numId="28" w16cid:durableId="638648937">
    <w:abstractNumId w:val="27"/>
  </w:num>
  <w:num w:numId="29" w16cid:durableId="359555274">
    <w:abstractNumId w:val="22"/>
  </w:num>
  <w:num w:numId="30" w16cid:durableId="1595359649">
    <w:abstractNumId w:val="16"/>
  </w:num>
  <w:num w:numId="31" w16cid:durableId="85737079">
    <w:abstractNumId w:val="0"/>
  </w:num>
  <w:num w:numId="32" w16cid:durableId="275018690">
    <w:abstractNumId w:val="10"/>
  </w:num>
  <w:num w:numId="33" w16cid:durableId="694423982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D36"/>
    <w:rsid w:val="00002DA9"/>
    <w:rsid w:val="000216E0"/>
    <w:rsid w:val="00025496"/>
    <w:rsid w:val="00025672"/>
    <w:rsid w:val="000277D6"/>
    <w:rsid w:val="0003168B"/>
    <w:rsid w:val="0003222E"/>
    <w:rsid w:val="00037FB3"/>
    <w:rsid w:val="000405C8"/>
    <w:rsid w:val="00044D24"/>
    <w:rsid w:val="0005402A"/>
    <w:rsid w:val="00056687"/>
    <w:rsid w:val="000569EF"/>
    <w:rsid w:val="0006577B"/>
    <w:rsid w:val="000721D3"/>
    <w:rsid w:val="00093736"/>
    <w:rsid w:val="000A5996"/>
    <w:rsid w:val="000B0C70"/>
    <w:rsid w:val="000C163C"/>
    <w:rsid w:val="000D0528"/>
    <w:rsid w:val="000D593C"/>
    <w:rsid w:val="000D7B56"/>
    <w:rsid w:val="000E118C"/>
    <w:rsid w:val="000F2EDA"/>
    <w:rsid w:val="00100409"/>
    <w:rsid w:val="0010496B"/>
    <w:rsid w:val="0011035B"/>
    <w:rsid w:val="00110E12"/>
    <w:rsid w:val="00111BD6"/>
    <w:rsid w:val="00114803"/>
    <w:rsid w:val="00124AE7"/>
    <w:rsid w:val="00124FBD"/>
    <w:rsid w:val="00125078"/>
    <w:rsid w:val="00163C1D"/>
    <w:rsid w:val="001668BF"/>
    <w:rsid w:val="001724FB"/>
    <w:rsid w:val="001726B0"/>
    <w:rsid w:val="00175558"/>
    <w:rsid w:val="001756E8"/>
    <w:rsid w:val="001A164F"/>
    <w:rsid w:val="001D6EC4"/>
    <w:rsid w:val="001F1DCB"/>
    <w:rsid w:val="00204174"/>
    <w:rsid w:val="0021751B"/>
    <w:rsid w:val="00221C08"/>
    <w:rsid w:val="002229BB"/>
    <w:rsid w:val="002469D2"/>
    <w:rsid w:val="00252CCB"/>
    <w:rsid w:val="002621E1"/>
    <w:rsid w:val="00263CAE"/>
    <w:rsid w:val="0026656D"/>
    <w:rsid w:val="002735BD"/>
    <w:rsid w:val="00275FCB"/>
    <w:rsid w:val="002764E9"/>
    <w:rsid w:val="002A6ED0"/>
    <w:rsid w:val="002B2B8F"/>
    <w:rsid w:val="002B3E88"/>
    <w:rsid w:val="002B5B4D"/>
    <w:rsid w:val="002C54BE"/>
    <w:rsid w:val="002E233A"/>
    <w:rsid w:val="002F12B7"/>
    <w:rsid w:val="00310052"/>
    <w:rsid w:val="003238A5"/>
    <w:rsid w:val="003248A9"/>
    <w:rsid w:val="0034577C"/>
    <w:rsid w:val="00356DDA"/>
    <w:rsid w:val="00357F5D"/>
    <w:rsid w:val="00361588"/>
    <w:rsid w:val="00375BF8"/>
    <w:rsid w:val="003771FC"/>
    <w:rsid w:val="003A2536"/>
    <w:rsid w:val="003B05B3"/>
    <w:rsid w:val="003B5428"/>
    <w:rsid w:val="003B5F58"/>
    <w:rsid w:val="003C2181"/>
    <w:rsid w:val="003D0734"/>
    <w:rsid w:val="003D0CB1"/>
    <w:rsid w:val="003D4654"/>
    <w:rsid w:val="003E70AC"/>
    <w:rsid w:val="003F0256"/>
    <w:rsid w:val="003F05B5"/>
    <w:rsid w:val="003F3F07"/>
    <w:rsid w:val="00404524"/>
    <w:rsid w:val="00420428"/>
    <w:rsid w:val="00420E66"/>
    <w:rsid w:val="00446211"/>
    <w:rsid w:val="004468EF"/>
    <w:rsid w:val="00447A90"/>
    <w:rsid w:val="00451E4C"/>
    <w:rsid w:val="004712BF"/>
    <w:rsid w:val="00475128"/>
    <w:rsid w:val="004774B5"/>
    <w:rsid w:val="00477AAA"/>
    <w:rsid w:val="00480C3B"/>
    <w:rsid w:val="00494512"/>
    <w:rsid w:val="004A3A57"/>
    <w:rsid w:val="004A7CBF"/>
    <w:rsid w:val="004B1413"/>
    <w:rsid w:val="004C1069"/>
    <w:rsid w:val="004D0F57"/>
    <w:rsid w:val="004D30E9"/>
    <w:rsid w:val="004E7E66"/>
    <w:rsid w:val="004F0C1C"/>
    <w:rsid w:val="004F21F6"/>
    <w:rsid w:val="004F4386"/>
    <w:rsid w:val="00504E7D"/>
    <w:rsid w:val="00514C72"/>
    <w:rsid w:val="00514D52"/>
    <w:rsid w:val="00515FB1"/>
    <w:rsid w:val="0052160E"/>
    <w:rsid w:val="00532485"/>
    <w:rsid w:val="00535A3B"/>
    <w:rsid w:val="005446C4"/>
    <w:rsid w:val="005574BF"/>
    <w:rsid w:val="00557D4D"/>
    <w:rsid w:val="00560CCE"/>
    <w:rsid w:val="00563BE4"/>
    <w:rsid w:val="00563EB2"/>
    <w:rsid w:val="00565CF2"/>
    <w:rsid w:val="00572B38"/>
    <w:rsid w:val="0059431B"/>
    <w:rsid w:val="005A3F19"/>
    <w:rsid w:val="005B4CE6"/>
    <w:rsid w:val="005C4235"/>
    <w:rsid w:val="005C6281"/>
    <w:rsid w:val="005D493E"/>
    <w:rsid w:val="005D60BB"/>
    <w:rsid w:val="005E338E"/>
    <w:rsid w:val="005F38F5"/>
    <w:rsid w:val="005F749F"/>
    <w:rsid w:val="00611D36"/>
    <w:rsid w:val="0061452C"/>
    <w:rsid w:val="006175EE"/>
    <w:rsid w:val="00634B36"/>
    <w:rsid w:val="006373C2"/>
    <w:rsid w:val="00640304"/>
    <w:rsid w:val="00646DC4"/>
    <w:rsid w:val="00647D8D"/>
    <w:rsid w:val="00657C9A"/>
    <w:rsid w:val="00661BB7"/>
    <w:rsid w:val="00662F2D"/>
    <w:rsid w:val="006704D2"/>
    <w:rsid w:val="00680491"/>
    <w:rsid w:val="006826C2"/>
    <w:rsid w:val="00691195"/>
    <w:rsid w:val="00692829"/>
    <w:rsid w:val="00695B47"/>
    <w:rsid w:val="006A4000"/>
    <w:rsid w:val="006B1A7D"/>
    <w:rsid w:val="006B6BCE"/>
    <w:rsid w:val="006D6210"/>
    <w:rsid w:val="006E0B98"/>
    <w:rsid w:val="006F525D"/>
    <w:rsid w:val="006F69A1"/>
    <w:rsid w:val="006F6A5C"/>
    <w:rsid w:val="00704536"/>
    <w:rsid w:val="0074756F"/>
    <w:rsid w:val="00765E08"/>
    <w:rsid w:val="0077016A"/>
    <w:rsid w:val="007738B4"/>
    <w:rsid w:val="00777666"/>
    <w:rsid w:val="007874E3"/>
    <w:rsid w:val="007969C6"/>
    <w:rsid w:val="007B1DC1"/>
    <w:rsid w:val="007B53F1"/>
    <w:rsid w:val="007D410F"/>
    <w:rsid w:val="007E255C"/>
    <w:rsid w:val="007F786B"/>
    <w:rsid w:val="00806ABC"/>
    <w:rsid w:val="00810860"/>
    <w:rsid w:val="00825A99"/>
    <w:rsid w:val="008322BF"/>
    <w:rsid w:val="0084705A"/>
    <w:rsid w:val="00852DA4"/>
    <w:rsid w:val="008543F1"/>
    <w:rsid w:val="00862EF7"/>
    <w:rsid w:val="00864ED2"/>
    <w:rsid w:val="00866F5A"/>
    <w:rsid w:val="00870C19"/>
    <w:rsid w:val="00872225"/>
    <w:rsid w:val="008A05E7"/>
    <w:rsid w:val="008A33D2"/>
    <w:rsid w:val="008A3CE2"/>
    <w:rsid w:val="008B1224"/>
    <w:rsid w:val="008B233B"/>
    <w:rsid w:val="008C3564"/>
    <w:rsid w:val="008C6C74"/>
    <w:rsid w:val="008E0CA6"/>
    <w:rsid w:val="008F57F7"/>
    <w:rsid w:val="008F66AE"/>
    <w:rsid w:val="008F7275"/>
    <w:rsid w:val="00900042"/>
    <w:rsid w:val="00901DC8"/>
    <w:rsid w:val="00902987"/>
    <w:rsid w:val="00907974"/>
    <w:rsid w:val="00932EC8"/>
    <w:rsid w:val="00940A0F"/>
    <w:rsid w:val="009431DA"/>
    <w:rsid w:val="00951542"/>
    <w:rsid w:val="009516E9"/>
    <w:rsid w:val="00952737"/>
    <w:rsid w:val="009600B2"/>
    <w:rsid w:val="00961F0C"/>
    <w:rsid w:val="00965C69"/>
    <w:rsid w:val="009731AF"/>
    <w:rsid w:val="0099335C"/>
    <w:rsid w:val="009A74E6"/>
    <w:rsid w:val="009B3601"/>
    <w:rsid w:val="009C63D2"/>
    <w:rsid w:val="009D3464"/>
    <w:rsid w:val="009E7456"/>
    <w:rsid w:val="009F46D8"/>
    <w:rsid w:val="009F5D02"/>
    <w:rsid w:val="00A00B21"/>
    <w:rsid w:val="00A01B40"/>
    <w:rsid w:val="00A020BB"/>
    <w:rsid w:val="00A03E87"/>
    <w:rsid w:val="00A10809"/>
    <w:rsid w:val="00A23EEA"/>
    <w:rsid w:val="00A240D5"/>
    <w:rsid w:val="00A2740B"/>
    <w:rsid w:val="00A36F65"/>
    <w:rsid w:val="00A511CE"/>
    <w:rsid w:val="00A627EB"/>
    <w:rsid w:val="00A65664"/>
    <w:rsid w:val="00A66B1B"/>
    <w:rsid w:val="00A66F82"/>
    <w:rsid w:val="00A923A3"/>
    <w:rsid w:val="00AA28F6"/>
    <w:rsid w:val="00AB61A0"/>
    <w:rsid w:val="00AC221D"/>
    <w:rsid w:val="00AD008A"/>
    <w:rsid w:val="00AD2895"/>
    <w:rsid w:val="00AD5AEA"/>
    <w:rsid w:val="00AE1D70"/>
    <w:rsid w:val="00AE579D"/>
    <w:rsid w:val="00AE71C9"/>
    <w:rsid w:val="00B02E6B"/>
    <w:rsid w:val="00B053E6"/>
    <w:rsid w:val="00B07B2B"/>
    <w:rsid w:val="00B1262C"/>
    <w:rsid w:val="00B22EFB"/>
    <w:rsid w:val="00B30F08"/>
    <w:rsid w:val="00B50C43"/>
    <w:rsid w:val="00B54438"/>
    <w:rsid w:val="00B76A50"/>
    <w:rsid w:val="00B866ED"/>
    <w:rsid w:val="00B92366"/>
    <w:rsid w:val="00B941B9"/>
    <w:rsid w:val="00BA4EBE"/>
    <w:rsid w:val="00BB3CE2"/>
    <w:rsid w:val="00BC6E76"/>
    <w:rsid w:val="00BD2704"/>
    <w:rsid w:val="00BE4EBC"/>
    <w:rsid w:val="00BF05AE"/>
    <w:rsid w:val="00C003DC"/>
    <w:rsid w:val="00C02D3C"/>
    <w:rsid w:val="00C10B4C"/>
    <w:rsid w:val="00C26B28"/>
    <w:rsid w:val="00C33F6C"/>
    <w:rsid w:val="00C36094"/>
    <w:rsid w:val="00C468E8"/>
    <w:rsid w:val="00C64399"/>
    <w:rsid w:val="00C67A1E"/>
    <w:rsid w:val="00C743D7"/>
    <w:rsid w:val="00C75A2C"/>
    <w:rsid w:val="00C93715"/>
    <w:rsid w:val="00CA7B55"/>
    <w:rsid w:val="00CB1EAC"/>
    <w:rsid w:val="00CB3989"/>
    <w:rsid w:val="00CB5969"/>
    <w:rsid w:val="00CC4651"/>
    <w:rsid w:val="00CD4024"/>
    <w:rsid w:val="00CE517E"/>
    <w:rsid w:val="00D0386E"/>
    <w:rsid w:val="00D04DB2"/>
    <w:rsid w:val="00D14309"/>
    <w:rsid w:val="00D2188C"/>
    <w:rsid w:val="00D37B3C"/>
    <w:rsid w:val="00D37EEB"/>
    <w:rsid w:val="00D608D3"/>
    <w:rsid w:val="00D74341"/>
    <w:rsid w:val="00D838C9"/>
    <w:rsid w:val="00D87ABB"/>
    <w:rsid w:val="00D908E9"/>
    <w:rsid w:val="00DA0BDF"/>
    <w:rsid w:val="00DA584C"/>
    <w:rsid w:val="00DB0A9F"/>
    <w:rsid w:val="00DC4318"/>
    <w:rsid w:val="00DC5189"/>
    <w:rsid w:val="00DE0D9A"/>
    <w:rsid w:val="00DE229B"/>
    <w:rsid w:val="00DF055F"/>
    <w:rsid w:val="00DF7EEB"/>
    <w:rsid w:val="00E02D1A"/>
    <w:rsid w:val="00E02E7F"/>
    <w:rsid w:val="00E133A1"/>
    <w:rsid w:val="00E176D5"/>
    <w:rsid w:val="00E217E5"/>
    <w:rsid w:val="00E21EE3"/>
    <w:rsid w:val="00E41917"/>
    <w:rsid w:val="00E43DA7"/>
    <w:rsid w:val="00E45E20"/>
    <w:rsid w:val="00E47638"/>
    <w:rsid w:val="00E51D16"/>
    <w:rsid w:val="00E55FC7"/>
    <w:rsid w:val="00E62656"/>
    <w:rsid w:val="00E67FE4"/>
    <w:rsid w:val="00EB183E"/>
    <w:rsid w:val="00ED644E"/>
    <w:rsid w:val="00EF56AB"/>
    <w:rsid w:val="00F036B1"/>
    <w:rsid w:val="00F1544F"/>
    <w:rsid w:val="00F3022F"/>
    <w:rsid w:val="00F311CE"/>
    <w:rsid w:val="00F34AED"/>
    <w:rsid w:val="00F4745C"/>
    <w:rsid w:val="00F608A0"/>
    <w:rsid w:val="00F64EFE"/>
    <w:rsid w:val="00F704B1"/>
    <w:rsid w:val="00F7347F"/>
    <w:rsid w:val="00F925A7"/>
    <w:rsid w:val="00F942DF"/>
    <w:rsid w:val="00F94850"/>
    <w:rsid w:val="00F975A7"/>
    <w:rsid w:val="00FA5449"/>
    <w:rsid w:val="00FB3001"/>
    <w:rsid w:val="00FB35DA"/>
    <w:rsid w:val="00FB58DB"/>
    <w:rsid w:val="00FC187C"/>
    <w:rsid w:val="00FC73C9"/>
    <w:rsid w:val="00FC78A3"/>
    <w:rsid w:val="00FD111A"/>
    <w:rsid w:val="00FE0A49"/>
    <w:rsid w:val="00FE0C4B"/>
    <w:rsid w:val="00FF17BC"/>
    <w:rsid w:val="00FF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3BE284"/>
  <w15:chartTrackingRefBased/>
  <w15:docId w15:val="{AE166D19-B735-4D5E-AA94-A4810DB3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449"/>
    <w:rPr>
      <w:rFonts w:ascii="Garamond" w:hAnsi="Garamond"/>
      <w:sz w:val="16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0C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0F5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aliases w:val="Podrozdział,Footnote,Podrozdzia3,Przypis,-E Fuﬂnotentext,Fuﬂnotentext Ursprung,Fußnotentext Ursprung,-E Fußnotentext,Footnote Text Char1,Footnote Text Char2 Char,Footnote Text Char1 Char1 Char,Footnote Text Char2,Plonk,footnote te"/>
    <w:basedOn w:val="Normalny"/>
    <w:link w:val="TekstprzypisudolnegoZnak"/>
    <w:uiPriority w:val="99"/>
    <w:rsid w:val="004D30E9"/>
    <w:rPr>
      <w:sz w:val="20"/>
    </w:rPr>
  </w:style>
  <w:style w:type="character" w:styleId="Odwoanieprzypisudolnego">
    <w:name w:val="footnote reference"/>
    <w:aliases w:val="Footnote Reference Number"/>
    <w:uiPriority w:val="99"/>
    <w:semiHidden/>
    <w:rsid w:val="004D30E9"/>
    <w:rPr>
      <w:vertAlign w:val="superscript"/>
    </w:rPr>
  </w:style>
  <w:style w:type="character" w:styleId="Odwoaniedokomentarza">
    <w:name w:val="annotation reference"/>
    <w:uiPriority w:val="99"/>
    <w:semiHidden/>
    <w:rsid w:val="00446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Poprawka">
    <w:name w:val="Revision"/>
    <w:hidden/>
    <w:uiPriority w:val="99"/>
    <w:semiHidden/>
    <w:rsid w:val="00B50C43"/>
    <w:rPr>
      <w:rFonts w:ascii="Garamond" w:hAnsi="Garamond"/>
      <w:sz w:val="16"/>
    </w:rPr>
  </w:style>
  <w:style w:type="character" w:styleId="Hipercze">
    <w:name w:val="Hyperlink"/>
    <w:uiPriority w:val="99"/>
    <w:unhideWhenUsed/>
    <w:rsid w:val="00A00B21"/>
    <w:rPr>
      <w:color w:val="0000FF"/>
      <w:u w:val="single"/>
    </w:rPr>
  </w:style>
  <w:style w:type="character" w:styleId="Uwydatnienie">
    <w:name w:val="Emphasis"/>
    <w:uiPriority w:val="20"/>
    <w:qFormat/>
    <w:rsid w:val="002735BD"/>
    <w:rPr>
      <w:i/>
      <w:iCs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6F525D"/>
    <w:rPr>
      <w:sz w:val="24"/>
      <w:szCs w:val="24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F525D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tlid-translation">
    <w:name w:val="tlid-translation"/>
    <w:rsid w:val="006F525D"/>
  </w:style>
  <w:style w:type="paragraph" w:customStyle="1" w:styleId="Default">
    <w:name w:val="Default"/>
    <w:rsid w:val="00F975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311CE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xt1">
    <w:name w:val="Text 1"/>
    <w:basedOn w:val="Normalny"/>
    <w:link w:val="Text1Char"/>
    <w:rsid w:val="004A7CBF"/>
    <w:pPr>
      <w:spacing w:before="120" w:after="120"/>
      <w:ind w:left="850"/>
      <w:jc w:val="both"/>
    </w:pPr>
    <w:rPr>
      <w:rFonts w:ascii="Times New Roman" w:hAnsi="Times New Roman"/>
      <w:sz w:val="24"/>
      <w:szCs w:val="24"/>
      <w:lang w:val="x-none" w:eastAsia="en-US"/>
    </w:rPr>
  </w:style>
  <w:style w:type="character" w:customStyle="1" w:styleId="Text1Char">
    <w:name w:val="Text 1 Char"/>
    <w:link w:val="Text1"/>
    <w:locked/>
    <w:rsid w:val="004A7CBF"/>
    <w:rPr>
      <w:sz w:val="24"/>
      <w:szCs w:val="24"/>
      <w:lang w:val="x-none" w:eastAsia="en-US"/>
    </w:rPr>
  </w:style>
  <w:style w:type="paragraph" w:customStyle="1" w:styleId="Akapit">
    <w:name w:val="Akapit"/>
    <w:basedOn w:val="Nagwek6"/>
    <w:rsid w:val="004D0F57"/>
    <w:pPr>
      <w:keepNext/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D0F5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ootnote Text Char1 Znak,Footnote Text Char2 Char Znak,Plonk Znak"/>
    <w:link w:val="Tekstprzypisudolnego"/>
    <w:uiPriority w:val="99"/>
    <w:rsid w:val="005C4235"/>
    <w:rPr>
      <w:rFonts w:ascii="Garamond" w:hAnsi="Garamond"/>
    </w:rPr>
  </w:style>
  <w:style w:type="paragraph" w:customStyle="1" w:styleId="mainpub">
    <w:name w:val="mainpub"/>
    <w:basedOn w:val="Normalny"/>
    <w:rsid w:val="005C423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lb-s">
    <w:name w:val="a_lb-s"/>
    <w:rsid w:val="00275FCB"/>
  </w:style>
  <w:style w:type="character" w:styleId="Nierozpoznanawzmianka">
    <w:name w:val="Unresolved Mention"/>
    <w:uiPriority w:val="99"/>
    <w:semiHidden/>
    <w:unhideWhenUsed/>
    <w:rsid w:val="0052160E"/>
    <w:rPr>
      <w:color w:val="605E5C"/>
      <w:shd w:val="clear" w:color="auto" w:fill="E1DFDD"/>
    </w:rPr>
  </w:style>
  <w:style w:type="character" w:customStyle="1" w:styleId="TekstkomentarzaZnak">
    <w:name w:val="Tekst komentarza Znak"/>
    <w:link w:val="Tekstkomentarza"/>
    <w:uiPriority w:val="99"/>
    <w:rsid w:val="0052160E"/>
    <w:rPr>
      <w:rFonts w:ascii="Garamond" w:hAnsi="Garamond"/>
    </w:rPr>
  </w:style>
  <w:style w:type="character" w:styleId="UyteHipercze">
    <w:name w:val="FollowedHyperlink"/>
    <w:uiPriority w:val="99"/>
    <w:semiHidden/>
    <w:unhideWhenUsed/>
    <w:rsid w:val="00B1262C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262C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262C"/>
    <w:rPr>
      <w:rFonts w:ascii="Garamond" w:hAnsi="Garamond"/>
    </w:rPr>
  </w:style>
  <w:style w:type="character" w:styleId="Odwoanieprzypisukocowego">
    <w:name w:val="endnote reference"/>
    <w:uiPriority w:val="99"/>
    <w:semiHidden/>
    <w:unhideWhenUsed/>
    <w:rsid w:val="00B1262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E0C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2343/Wytyczne_dotyczace_kwalifikowalnosci_2021_2027.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unduszeeuropejskie.gov.pl/media/112343/Wytyczne_dotyczace_kwalifikowalnosci_2021_202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2343/Wytyczne_dotyczace_kwalifikowalnosci_2021_2027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BF36B-BF1D-48BB-BB6D-536E3EC17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RWP Katalog wydatków kwalifikowanych</vt:lpstr>
    </vt:vector>
  </TitlesOfParts>
  <Company>NFOSiGW</Company>
  <LinksUpToDate>false</LinksUpToDate>
  <CharactersWithSpaces>3402</CharactersWithSpaces>
  <SharedDoc>false</SharedDoc>
  <HLinks>
    <vt:vector size="18" baseType="variant">
      <vt:variant>
        <vt:i4>983052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3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RWP Katalog wydatków kwalifikowanych</dc:title>
  <dc:subject/>
  <dc:creator>AJendrulek</dc:creator>
  <cp:keywords/>
  <dc:description/>
  <cp:lastModifiedBy>Wójcik-Napiórkowska Beata</cp:lastModifiedBy>
  <cp:revision>4</cp:revision>
  <cp:lastPrinted>2013-01-29T13:37:00Z</cp:lastPrinted>
  <dcterms:created xsi:type="dcterms:W3CDTF">2024-04-11T13:44:00Z</dcterms:created>
  <dcterms:modified xsi:type="dcterms:W3CDTF">2024-04-23T09:51:00Z</dcterms:modified>
</cp:coreProperties>
</file>